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Look w:val="04A0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bookmarkStart w:id="0" w:name="_GoBack"/>
            <w:bookmarkEnd w:id="0"/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DA1AAE" w:rsidRDefault="009924E6" w:rsidP="003D4B88">
            <w:r w:rsidRPr="00DA1AAE">
              <w:t>от __________ № _________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>подлежащих обучению по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lastRenderedPageBreak/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Верх-Исетский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Первомайская,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Корепина,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</w:t>
      </w:r>
      <w:r w:rsidRPr="00847ED1">
        <w:rPr>
          <w:rFonts w:ascii="Times New Roman" w:hAnsi="Times New Roman" w:cs="Times New Roman"/>
          <w:color w:val="auto"/>
        </w:rPr>
        <w:lastRenderedPageBreak/>
        <w:t>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(мфц.екатеринбург.рф).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lastRenderedPageBreak/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>овки ребенка на учет будет являтся</w:t>
      </w:r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</w:t>
      </w:r>
      <w:r w:rsidR="00024589" w:rsidRPr="00723E4C">
        <w:rPr>
          <w:rFonts w:ascii="Times New Roman" w:hAnsi="Times New Roman" w:cs="Times New Roman"/>
          <w:color w:val="auto"/>
        </w:rPr>
        <w:lastRenderedPageBreak/>
        <w:t xml:space="preserve">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lastRenderedPageBreak/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>ачисления в МДОО, территориально закреплённой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>. 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Default="00C25CB4" w:rsidP="00C25CB4">
      <w:pPr>
        <w:ind w:firstLine="709"/>
        <w:jc w:val="both"/>
      </w:pPr>
      <w:r>
        <w:lastRenderedPageBreak/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>имается с учёта детей, подлежащих обучению по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lastRenderedPageBreak/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>ние 2-х месяцев с даты утверждения</w:t>
      </w:r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r w:rsidRPr="00D7325A"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>. 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lastRenderedPageBreak/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>тами, регулирующими учёт детей, подлежащих обучению по программам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начальника Управления образования Администрации города Екатеринбурга, осуществляется по адресу: г. Екатеринбург, пр. Ленина, д. 24а, каб.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(бездействих</w:t>
      </w:r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</w:t>
      </w:r>
      <w:r w:rsidR="00D52546" w:rsidRPr="00723E4C">
        <w:lastRenderedPageBreak/>
        <w:t>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lastRenderedPageBreak/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>Е.А. Сибирцевой</w:t>
            </w:r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r w:rsidRPr="00723E4C">
              <w:t>проживающего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Я, ________________________________________________, являясь родителем (законным 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r w:rsidRPr="00723E4C">
        <w:t>компенсирующая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r w:rsidRPr="00723E4C">
        <w:t>оздоровительная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lastRenderedPageBreak/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  <w:r w:rsidRPr="000365E4">
              <w:lastRenderedPageBreak/>
              <w:t>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8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lastRenderedPageBreak/>
              <w:t xml:space="preserve">е)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командированным в воинские части, указанные в </w:t>
            </w:r>
            <w:hyperlink r:id="rId10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командированному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6.4. детям гражданина Российской Федерации, уволенного со службы в учреждениях и органах вследствие увечья или иного </w:t>
            </w:r>
            <w:r w:rsidRPr="000365E4">
              <w:rPr>
                <w:rFonts w:ascii="Times New Roman" w:hAnsi="Times New Roman" w:cs="Times New Roman"/>
              </w:rPr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3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9B" w:rsidRDefault="00B2329B" w:rsidP="00746671">
      <w:r>
        <w:separator/>
      </w:r>
    </w:p>
  </w:endnote>
  <w:endnote w:type="continuationSeparator" w:id="0">
    <w:p w:rsidR="00B2329B" w:rsidRDefault="00B2329B" w:rsidP="0074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500951"/>
      <w:docPartObj>
        <w:docPartGallery w:val="Page Numbers (Bottom of Page)"/>
        <w:docPartUnique/>
      </w:docPartObj>
    </w:sdtPr>
    <w:sdtContent>
      <w:p w:rsidR="00664623" w:rsidRDefault="00C240AC">
        <w:pPr>
          <w:pStyle w:val="ab"/>
          <w:jc w:val="center"/>
        </w:pPr>
        <w:r>
          <w:fldChar w:fldCharType="begin"/>
        </w:r>
        <w:r w:rsidR="00664623">
          <w:instrText>PAGE   \* MERGEFORMAT</w:instrText>
        </w:r>
        <w:r>
          <w:fldChar w:fldCharType="separate"/>
        </w:r>
        <w:r w:rsidR="00676164">
          <w:rPr>
            <w:noProof/>
          </w:rPr>
          <w:t>1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9B" w:rsidRDefault="00B2329B" w:rsidP="00746671">
      <w:r>
        <w:separator/>
      </w:r>
    </w:p>
  </w:footnote>
  <w:footnote w:type="continuationSeparator" w:id="0">
    <w:p w:rsidR="00B2329B" w:rsidRDefault="00B2329B" w:rsidP="00746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8365C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289A"/>
    <w:rsid w:val="00664623"/>
    <w:rsid w:val="006667A1"/>
    <w:rsid w:val="0067105E"/>
    <w:rsid w:val="00674814"/>
    <w:rsid w:val="0067616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329B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40AC"/>
    <w:rsid w:val="00C25CB4"/>
    <w:rsid w:val="00C30B7F"/>
    <w:rsid w:val="00C321D7"/>
    <w:rsid w:val="00C36336"/>
    <w:rsid w:val="00C376FF"/>
    <w:rsid w:val="00C55F96"/>
    <w:rsid w:val="00C612FB"/>
    <w:rsid w:val="00C704E5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59433F9AF303F1C0A7DACE38C2A63031055F8B6520B3B54585E556F7E23A654CBE327t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D40E62D8C96B66B3E56C83FEE7638637C1A2474DCDC90ED79E521EDBEBFBEF1710CF8B8D8578DCK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40E62D8C96B66B3E56C83FEE7638637C1A2474DCDC90ED79E521EDBEBFBEF1710CF8B8D8578DCK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40E62D8C96B66B3E56C83FEE7638637C1A2474DCDC90ED79E521EDBEBFBEF1710CF8B8D8579DCK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59433F9AF303F1C0A7DACE38C2A63031055F8B6520B3B54585E556F7E23A654CBE37B20t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9DAE-2D2A-40A9-8FB1-DFD52192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8115</Words>
  <Characters>46260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54267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МБДОУ 16</cp:lastModifiedBy>
  <cp:revision>2</cp:revision>
  <cp:lastPrinted>2016-11-23T07:46:00Z</cp:lastPrinted>
  <dcterms:created xsi:type="dcterms:W3CDTF">2017-03-20T06:14:00Z</dcterms:created>
  <dcterms:modified xsi:type="dcterms:W3CDTF">2017-03-20T06:14:00Z</dcterms:modified>
</cp:coreProperties>
</file>